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77" w:rsidRPr="004F5AD9" w:rsidRDefault="00567B77" w:rsidP="0076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«Бензин </w:t>
      </w:r>
      <w:proofErr w:type="spellStart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>автомобільний</w:t>
      </w:r>
      <w:proofErr w:type="spellEnd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А-95 </w:t>
      </w:r>
      <w:r w:rsidR="007660D4" w:rsidRPr="004F5A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талонах</w:t>
      </w:r>
      <w:r w:rsidR="00616355" w:rsidRPr="004F5A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>(скретч- картах)»</w:t>
      </w:r>
      <w:r w:rsidR="00616355" w:rsidRPr="004F5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(ДК 021:2015:09130000-9 </w:t>
      </w:r>
      <w:proofErr w:type="spellStart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4F5AD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6567B7" w:rsidRPr="004F5A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014B5" w:rsidRPr="004F5AD9" w:rsidRDefault="000014B5" w:rsidP="00032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4F5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4F5A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3EA6" w:rsidRDefault="00D76531" w:rsidP="002E3E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забезпечення ефективного виконання прокурорами відповідних процесуальних повноважень, забезпечення швидкого та ефективного досудового розслідування у кримінальних провадженнях про злочини, пов’язані зі збройною агресією </w:t>
      </w:r>
      <w:proofErr w:type="spellStart"/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рф</w:t>
      </w:r>
      <w:proofErr w:type="spellEnd"/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України, є наявна потреба </w:t>
      </w:r>
      <w:r w:rsidR="00596E3E"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здійсн</w:t>
      </w:r>
      <w:r w:rsid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="00596E3E"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</w:t>
      </w:r>
      <w:r w:rsid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bookmarkStart w:id="0" w:name="_GoBack"/>
      <w:bookmarkEnd w:id="0"/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предметом «Бензин автомобільний А-95 в талонах (</w:t>
      </w:r>
      <w:proofErr w:type="spellStart"/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картах)» </w:t>
      </w:r>
      <w:r w:rsidR="00730A3A"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2D40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021:2015:09130000-9 Нафта і дистиляти); КЕКВ 2210: Предмети, матеріали, обладнання та інвентар</w:t>
      </w:r>
      <w:r w:rsidR="007111C2" w:rsidRPr="004F5AD9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2E3EA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71E4" w:rsidRPr="0062284B" w:rsidRDefault="00CE71E4" w:rsidP="00CE71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товару.</w:t>
      </w:r>
    </w:p>
    <w:p w:rsidR="00620BDE" w:rsidRPr="004F5AD9" w:rsidRDefault="00620BDE" w:rsidP="00960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Дата оприлюднення: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A03825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2B23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95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F6958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4F5A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4F5AD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76531" w:rsidRPr="004F5AD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87976" w:rsidRPr="004F5AD9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4F5AD9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36CA" w:rsidRPr="00AB36CA">
        <w:rPr>
          <w:rFonts w:ascii="Times New Roman" w:hAnsi="Times New Roman" w:cs="Times New Roman"/>
          <w:sz w:val="24"/>
          <w:szCs w:val="24"/>
          <w:lang w:val="ru-RU"/>
        </w:rPr>
        <w:t>2 274 800,00</w:t>
      </w:r>
      <w:r w:rsidR="00AB3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6CA" w:rsidRPr="004F5AD9">
        <w:rPr>
          <w:rFonts w:ascii="Times New Roman" w:hAnsi="Times New Roman" w:cs="Times New Roman"/>
          <w:sz w:val="24"/>
          <w:szCs w:val="24"/>
          <w:lang w:val="uk-UA"/>
        </w:rPr>
        <w:t>UAH з ПДВ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4F5AD9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36C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370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36CA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C120B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76531" w:rsidRPr="004F5A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20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76531" w:rsidRPr="004F5AD9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bookmarkStart w:id="1" w:name="_Hlk149572477"/>
      <w:r w:rsidR="00032D48" w:rsidRPr="004F5AD9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4F5AD9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bookmarkEnd w:id="1"/>
      <w:r w:rsidRPr="004F5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7AAD" w:rsidRPr="004F5AD9" w:rsidRDefault="00620BDE" w:rsidP="00ED555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AD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4F5AD9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3381"/>
        <w:gridCol w:w="6094"/>
      </w:tblGrid>
      <w:tr w:rsidR="00570657" w:rsidTr="00C861A4">
        <w:trPr>
          <w:trHeight w:val="522"/>
          <w:jc w:val="center"/>
        </w:trPr>
        <w:tc>
          <w:tcPr>
            <w:tcW w:w="590" w:type="dxa"/>
            <w:shd w:val="clear" w:color="auto" w:fill="A5A5A5"/>
            <w:vAlign w:val="center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75" w:type="dxa"/>
            <w:gridSpan w:val="2"/>
            <w:shd w:val="clear" w:color="auto" w:fill="A5A5A5"/>
            <w:vAlign w:val="center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570657" w:rsidTr="00C861A4">
        <w:trPr>
          <w:trHeight w:val="522"/>
          <w:jc w:val="center"/>
        </w:trPr>
        <w:tc>
          <w:tcPr>
            <w:tcW w:w="590" w:type="dxa"/>
            <w:vAlign w:val="center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4" w:type="dxa"/>
            <w:vAlign w:val="center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0657" w:rsidRPr="005F2D40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570657" w:rsidRP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094" w:type="dxa"/>
            <w:vAlign w:val="center"/>
          </w:tcPr>
          <w:p w:rsidR="00570657" w:rsidRPr="00570657" w:rsidRDefault="00570657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5706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70657">
              <w:rPr>
                <w:rFonts w:ascii="Times New Roman" w:eastAsia="Arial" w:hAnsi="Times New Roman" w:cs="Times New Roman"/>
                <w:lang w:val="ru-RU" w:eastAsia="ru-RU"/>
              </w:rPr>
              <w:t xml:space="preserve"> </w:t>
            </w:r>
            <w:r w:rsidRPr="00570657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570657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570657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570657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570657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570657" w:rsidRPr="00570657" w:rsidRDefault="00570657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70657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094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57" w:rsidRPr="002B6847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094" w:type="dxa"/>
          </w:tcPr>
          <w:p w:rsidR="00570657" w:rsidRPr="002B6847" w:rsidRDefault="00570657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570657" w:rsidRPr="005F2D40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094" w:type="dxa"/>
          </w:tcPr>
          <w:p w:rsidR="00570657" w:rsidRPr="00570657" w:rsidRDefault="00570657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</w:t>
            </w:r>
          </w:p>
        </w:tc>
      </w:tr>
      <w:tr w:rsidR="00570657" w:rsidRPr="00E72FB1" w:rsidTr="00C861A4">
        <w:trPr>
          <w:trHeight w:val="2428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</w:t>
            </w:r>
            <w:r w:rsidRPr="009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094" w:type="dxa"/>
          </w:tcPr>
          <w:p w:rsidR="00570657" w:rsidRPr="00570657" w:rsidRDefault="00570657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570657" w:rsidRPr="00570657" w:rsidRDefault="00570657" w:rsidP="008D275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:rsidR="00570657" w:rsidRPr="00E72FB1" w:rsidRDefault="00570657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40000,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</w:t>
            </w:r>
            <w:r w:rsidRPr="00DE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ms31@ukr.net</w:t>
            </w:r>
          </w:p>
        </w:tc>
      </w:tr>
      <w:tr w:rsidR="00570657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94" w:type="dxa"/>
          </w:tcPr>
          <w:p w:rsidR="00570657" w:rsidRDefault="00570657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70657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94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57" w:rsidRPr="005F2D40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94" w:type="dxa"/>
          </w:tcPr>
          <w:p w:rsidR="00570657" w:rsidRPr="00570657" w:rsidRDefault="00570657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57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Бензин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автомобільний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А-95 в талонах (скретч- картах)</w:t>
            </w:r>
            <w:r w:rsidRPr="007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57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(ДК 021:2015:</w:t>
            </w:r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09130000-9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Нафта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дистиляти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0657" w:rsidRPr="005F2D40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570657" w:rsidRP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4" w:type="dxa"/>
          </w:tcPr>
          <w:p w:rsidR="00570657" w:rsidRPr="00570657" w:rsidRDefault="00570657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570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0657" w:rsidRPr="005F2D40" w:rsidTr="00C861A4">
        <w:trPr>
          <w:trHeight w:val="522"/>
          <w:jc w:val="center"/>
        </w:trPr>
        <w:tc>
          <w:tcPr>
            <w:tcW w:w="590" w:type="dxa"/>
          </w:tcPr>
          <w:p w:rsid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570657" w:rsidRPr="00570657" w:rsidRDefault="00570657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6094" w:type="dxa"/>
          </w:tcPr>
          <w:p w:rsidR="00570657" w:rsidRPr="00570657" w:rsidRDefault="00570657" w:rsidP="00EF54B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</w:pPr>
            <w:proofErr w:type="spellStart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Кількість</w:t>
            </w:r>
            <w:proofErr w:type="spellEnd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:</w:t>
            </w:r>
          </w:p>
          <w:p w:rsidR="00570657" w:rsidRPr="00570657" w:rsidRDefault="00570657" w:rsidP="00EF54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бензин А-95 </w:t>
            </w:r>
            <w:r w:rsidRPr="00570657">
              <w:rPr>
                <w:rFonts w:ascii="Times New Roman" w:hAnsi="Times New Roman" w:cs="Times New Roman"/>
                <w:b/>
                <w:sz w:val="24"/>
                <w:szCs w:val="24"/>
                <w:lang w:val="ru-RU" w:eastAsia="uk-UA" w:bidi="uk-UA"/>
              </w:rPr>
              <w:t>–</w:t>
            </w:r>
            <w:r w:rsidR="00E62958">
              <w:rPr>
                <w:rFonts w:ascii="Times New Roman" w:hAnsi="Times New Roman" w:cs="Times New Roman"/>
                <w:b/>
                <w:sz w:val="24"/>
                <w:szCs w:val="24"/>
                <w:lang w:val="ru-RU" w:eastAsia="uk-UA" w:bidi="uk-UA"/>
              </w:rPr>
              <w:t xml:space="preserve"> </w:t>
            </w:r>
            <w:r w:rsidR="00E62958" w:rsidRPr="00E62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41360</w:t>
            </w:r>
            <w:r w:rsidR="00E62958" w:rsidRPr="00570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70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л;</w:t>
            </w:r>
          </w:p>
          <w:p w:rsidR="00570657" w:rsidRPr="00151E46" w:rsidRDefault="00570657" w:rsidP="00EF54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товару: </w:t>
            </w:r>
            <w:proofErr w:type="spellStart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вул</w:t>
            </w:r>
            <w:proofErr w:type="spellEnd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. </w:t>
            </w:r>
            <w:r w:rsidRPr="00B3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Герасима Кондратьева, </w:t>
            </w:r>
            <w:proofErr w:type="gramStart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33,</w:t>
            </w:r>
            <w:r w:rsidRPr="009C1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</w:t>
            </w:r>
            <w:r w:rsidRPr="0068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 </w:t>
            </w:r>
            <w:proofErr w:type="gramEnd"/>
            <w:r w:rsidRPr="0068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   </w:t>
            </w:r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м. </w:t>
            </w:r>
            <w:proofErr w:type="spellStart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Суми</w:t>
            </w:r>
            <w:proofErr w:type="spellEnd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Україна</w:t>
            </w:r>
            <w:proofErr w:type="spellEnd"/>
            <w:r w:rsidRPr="00570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, 40000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>.</w:t>
            </w:r>
          </w:p>
          <w:p w:rsidR="00570657" w:rsidRPr="00570657" w:rsidRDefault="00570657" w:rsidP="00EF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забезпечує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передачу товару у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довірчого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документу (бланк-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дозвіл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скретч- карта</w:t>
            </w:r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5706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03045" w:rsidRPr="00570657" w:rsidTr="00C861A4">
        <w:trPr>
          <w:trHeight w:val="522"/>
          <w:jc w:val="center"/>
        </w:trPr>
        <w:tc>
          <w:tcPr>
            <w:tcW w:w="590" w:type="dxa"/>
          </w:tcPr>
          <w:p w:rsidR="00203045" w:rsidRDefault="00203045" w:rsidP="0020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203045" w:rsidRPr="00203045" w:rsidRDefault="00203045" w:rsidP="0020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094" w:type="dxa"/>
          </w:tcPr>
          <w:p w:rsidR="00203045" w:rsidRPr="001D5119" w:rsidRDefault="00B36513" w:rsidP="00203045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5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</w:t>
            </w:r>
            <w:r w:rsidRPr="00B36513">
              <w:rPr>
                <w:rFonts w:ascii="Calibri" w:eastAsia="Times New Roman" w:hAnsi="Calibri" w:cs="Calibri"/>
                <w:b/>
                <w:sz w:val="20"/>
                <w:szCs w:val="20"/>
                <w:lang w:val="uk-UA"/>
              </w:rPr>
              <w:t xml:space="preserve"> </w:t>
            </w:r>
            <w:r w:rsidRPr="00B3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 грудня 202</w:t>
            </w:r>
            <w:r w:rsidRPr="00B3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3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4F5AD9" w:rsidRDefault="004F5AD9" w:rsidP="004E24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B22B6" w:rsidRDefault="006B22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0F39BB" w:rsidRPr="000F39BB" w:rsidRDefault="000F39BB" w:rsidP="000F39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F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ІНФОРМАЦІЯ ПРО НЕОБХІДНІ ТЕХНІЧНІ, ЯКІСНІ ТА КІЛЬКІСНІ ХАРАКТЕРИСТИКИ ПРЕДМЕТА ЗАКУПІВЛІ, У ТОМУ ЧИСЛІ ВІДПОВІДНА ТЕХНІЧНА СПЕЦИФІКАЦІЯ ТА ІНШІ ВИМОГИ ДО УЧАСНИКА</w:t>
      </w:r>
    </w:p>
    <w:p w:rsidR="000F39BB" w:rsidRPr="000F39BB" w:rsidRDefault="000F39BB" w:rsidP="000F3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Calibri" w:hAnsi="Times New Roman" w:cs="Calibri"/>
          <w:b/>
          <w:sz w:val="28"/>
          <w:szCs w:val="28"/>
          <w:lang w:val="uk-UA"/>
        </w:rPr>
      </w:pPr>
      <w:r w:rsidRPr="000F39BB">
        <w:rPr>
          <w:rFonts w:ascii="Times New Roman" w:eastAsia="Calibri" w:hAnsi="Times New Roman" w:cs="Calibri"/>
          <w:b/>
          <w:bCs/>
          <w:sz w:val="28"/>
          <w:szCs w:val="28"/>
          <w:lang w:val="uk-UA"/>
        </w:rPr>
        <w:t>«Бензин автомобільний А-95 в талонах (</w:t>
      </w:r>
      <w:proofErr w:type="spellStart"/>
      <w:r w:rsidRPr="000F39BB">
        <w:rPr>
          <w:rFonts w:ascii="Times New Roman" w:eastAsia="Calibri" w:hAnsi="Times New Roman" w:cs="Calibri"/>
          <w:b/>
          <w:bCs/>
          <w:sz w:val="28"/>
          <w:szCs w:val="28"/>
          <w:lang w:val="uk-UA"/>
        </w:rPr>
        <w:t>скретч</w:t>
      </w:r>
      <w:proofErr w:type="spellEnd"/>
      <w:r w:rsidRPr="000F39BB">
        <w:rPr>
          <w:rFonts w:ascii="Times New Roman" w:eastAsia="Calibri" w:hAnsi="Times New Roman" w:cs="Calibri"/>
          <w:b/>
          <w:bCs/>
          <w:sz w:val="28"/>
          <w:szCs w:val="28"/>
          <w:lang w:val="uk-UA"/>
        </w:rPr>
        <w:t>- картах)» (ДК 021:2015:</w:t>
      </w:r>
      <w:r w:rsidRPr="000F39BB">
        <w:rPr>
          <w:rFonts w:ascii="Times New Roman" w:eastAsia="Calibri" w:hAnsi="Times New Roman" w:cs="Calibri"/>
          <w:b/>
          <w:sz w:val="28"/>
          <w:szCs w:val="28"/>
          <w:lang w:val="uk-UA"/>
        </w:rPr>
        <w:t xml:space="preserve">09130000-9 Нафта і дистиляти). </w:t>
      </w:r>
    </w:p>
    <w:p w:rsidR="000F39BB" w:rsidRPr="000F39BB" w:rsidRDefault="000F39BB" w:rsidP="000F3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39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Технічна специфікація.</w:t>
      </w:r>
    </w:p>
    <w:tbl>
      <w:tblPr>
        <w:tblStyle w:val="6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1418"/>
      </w:tblGrid>
      <w:tr w:rsidR="000F39BB" w:rsidRPr="000F39BB" w:rsidTr="005D16FA">
        <w:tc>
          <w:tcPr>
            <w:tcW w:w="2459" w:type="dxa"/>
          </w:tcPr>
          <w:p w:rsidR="000F39BB" w:rsidRPr="000F39BB" w:rsidRDefault="000F39BB" w:rsidP="000F39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418" w:type="dxa"/>
          </w:tcPr>
          <w:p w:rsidR="000F39BB" w:rsidRPr="000F39BB" w:rsidRDefault="000F39BB" w:rsidP="000F39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Об’єм, л</w:t>
            </w:r>
          </w:p>
        </w:tc>
      </w:tr>
      <w:tr w:rsidR="000F39BB" w:rsidRPr="000F39BB" w:rsidTr="005D16FA">
        <w:tc>
          <w:tcPr>
            <w:tcW w:w="2459" w:type="dxa"/>
          </w:tcPr>
          <w:p w:rsidR="000F39BB" w:rsidRPr="000F39BB" w:rsidRDefault="000F39BB" w:rsidP="000F39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1418" w:type="dxa"/>
          </w:tcPr>
          <w:p w:rsidR="000F39BB" w:rsidRPr="000F39BB" w:rsidRDefault="000F39BB" w:rsidP="000F39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41360</w:t>
            </w:r>
          </w:p>
        </w:tc>
      </w:tr>
    </w:tbl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0F39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Якісні характеристики товару:</w:t>
      </w:r>
    </w:p>
    <w:p w:rsidR="000F39BB" w:rsidRPr="000F39BB" w:rsidRDefault="000F39BB" w:rsidP="000F39BB">
      <w:pPr>
        <w:widowControl w:val="0"/>
        <w:autoSpaceDE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Запропонований учасником товар повинен відповідати вимогам діючих норм та стандартів, що діють на території України.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0F39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Інші вимоги: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Учасник повинен мати розгалужену мережу</w:t>
      </w:r>
      <w:r w:rsidRPr="000F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АЗС/АЗК у м. Суми та Сумській області. Зокрема, обов’язкова їх наявність, не менше ніж по одній АЗС/АЗК, у містах: Конотоп, Охтирка, Ромни, Шостка та за напрямком Суми - Київ, для забезпечення транспорту замовника, як у місцях розміщення транспортних засобів, так і по маршрутах пересування під час </w:t>
      </w:r>
      <w:proofErr w:type="spellStart"/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відряджень</w:t>
      </w:r>
      <w:proofErr w:type="spellEnd"/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повинен забезпечити можливість щоденної заправки транспортних засобів замовника з мінімальними витратами на переїзд </w:t>
      </w:r>
      <w:proofErr w:type="spellStart"/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ві</w:t>
      </w:r>
      <w:proofErr w:type="spellEnd"/>
      <w:r w:rsidRPr="000F39BB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адреси замовника до АЗС/АЗК учасника.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3.2. Заправка повинна здійснюватися на АЗС/АЗК учасника згідно довірчого документа (бланк-дозвіл, талон, скетч -карта тощо).</w:t>
      </w:r>
      <w:r w:rsidRPr="000F39BB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  <w:r w:rsidRPr="000F39BB">
        <w:rPr>
          <w:rFonts w:ascii="Times New Roman" w:eastAsia="Calibri" w:hAnsi="Times New Roman" w:cs="Calibri"/>
          <w:snapToGrid w:val="0"/>
          <w:sz w:val="24"/>
          <w:szCs w:val="24"/>
          <w:lang w:val="uk-UA"/>
        </w:rPr>
        <w:t>Довірчий документ є підставою для видачі (заправки) з АЗС/АЗК вказаного у карті об’єму і марки палива.</w:t>
      </w:r>
      <w:r w:rsidRPr="000F39BB">
        <w:rPr>
          <w:rFonts w:ascii="Times New Roman" w:eastAsia="Calibri" w:hAnsi="Times New Roman" w:cs="Calibri"/>
          <w:snapToGrid w:val="0"/>
          <w:sz w:val="18"/>
          <w:szCs w:val="18"/>
          <w:lang w:val="uk-UA"/>
        </w:rPr>
        <w:t xml:space="preserve"> 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3.3. Вимоги до довірчого документа (бланк-дозвіл, талон, скетч-карта тощо): 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3.3.1. Наявність довірчих документів (бланк-дозвіл, талон, скетч карта тощо) номіналом 10, 15 літрів зі строком дії не менше 3 (трьох) календарних років з дати їх отримання замовником згідно накладної;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3.3.2. Обов’язкова можливість рівноцінного обміну довірчих документів (бланків-дозволів, талонів, скетч-карт тощо) у разі переходу на довірчі документи (бланки-дозволу, талони тощо) нового зразка.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>3.3.3. Довірчі документи (бланк-дозвіл, талон тощо) повинні прийматися/обслуговуватися на АЗС/АЗК в м. Суми та Сумській області (зокрема обов’язково у містах: Конотоп, Охтирка, Ромни, Шостка) та за напрямком Суми-Київ, як на власних так і на орендованих та/чи партнерських АЗС/АЗК на весь період дії таких довірчих документів.</w:t>
      </w:r>
    </w:p>
    <w:p w:rsidR="000F39BB" w:rsidRPr="000F39BB" w:rsidRDefault="000F39BB" w:rsidP="000F39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F39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</w:t>
      </w:r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Технічні та якісні характеристики пал</w:t>
      </w:r>
      <w:proofErr w:type="spellStart"/>
      <w:r w:rsidRPr="000F39BB">
        <w:rPr>
          <w:rFonts w:ascii="Times New Roman" w:eastAsia="Calibri" w:hAnsi="Times New Roman" w:cs="Times New Roman"/>
          <w:sz w:val="24"/>
          <w:szCs w:val="24"/>
          <w:lang w:val="ru-RU"/>
        </w:rPr>
        <w:t>ьного</w:t>
      </w:r>
      <w:proofErr w:type="spellEnd"/>
      <w:r w:rsidRPr="000F39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повинні відповідати всім необхідним стандартам у галузі охорони навколишнього природного середовища та екологічної безпеки.</w:t>
      </w:r>
    </w:p>
    <w:p w:rsidR="00F61918" w:rsidRPr="00F61918" w:rsidRDefault="00F61918" w:rsidP="00F61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методом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порівняння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ринкових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цін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F61918" w:rsidRDefault="00F61918" w:rsidP="00F61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«Бензин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автомобільний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А-95 в талонах (скретч- картах)»</w:t>
      </w:r>
      <w:r w:rsidRPr="00F619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(ДК 021:2015:09130000-9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) (ДК021:2015:09130000-9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Нафта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дистиляти</w:t>
      </w:r>
      <w:proofErr w:type="spellEnd"/>
      <w:r w:rsidRPr="00F619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).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Основним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товарів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широкого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вжитку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 метод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моніторінгу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використовува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ли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ся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дані АЗС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також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сайт «Все АЗС» -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пальне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Україні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hyperlink r:id="rId9" w:history="1">
        <w:r w:rsidRPr="0004085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https://vseazs.com/</w:t>
        </w:r>
      </w:hyperlink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696395" w:rsidRPr="00696395" w:rsidRDefault="00696395" w:rsidP="00696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7933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984"/>
      </w:tblGrid>
      <w:tr w:rsidR="00696395" w:rsidRPr="00696395" w:rsidTr="005D16FA">
        <w:trPr>
          <w:trHeight w:val="1249"/>
        </w:trPr>
        <w:tc>
          <w:tcPr>
            <w:tcW w:w="2972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418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Авіас</w:t>
            </w:r>
            <w:proofErr w:type="spellEnd"/>
          </w:p>
        </w:tc>
        <w:tc>
          <w:tcPr>
            <w:tcW w:w="1559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BVS</w:t>
            </w:r>
          </w:p>
        </w:tc>
        <w:tc>
          <w:tcPr>
            <w:tcW w:w="1984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Marshal</w:t>
            </w:r>
          </w:p>
        </w:tc>
      </w:tr>
      <w:tr w:rsidR="00696395" w:rsidRPr="00696395" w:rsidTr="005D16FA">
        <w:trPr>
          <w:trHeight w:val="314"/>
        </w:trPr>
        <w:tc>
          <w:tcPr>
            <w:tcW w:w="2972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  <w:proofErr w:type="spellEnd"/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А95</w:t>
            </w:r>
          </w:p>
        </w:tc>
        <w:tc>
          <w:tcPr>
            <w:tcW w:w="1418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 грн</w:t>
            </w:r>
          </w:p>
        </w:tc>
        <w:tc>
          <w:tcPr>
            <w:tcW w:w="1559" w:type="dxa"/>
            <w:vAlign w:val="center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984" w:type="dxa"/>
          </w:tcPr>
          <w:p w:rsidR="00696395" w:rsidRPr="00696395" w:rsidRDefault="00696395" w:rsidP="00696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54,40 </w:t>
            </w:r>
            <w:r w:rsidRPr="006963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</w:tbl>
    <w:p w:rsidR="00696395" w:rsidRPr="00596E3E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Відповідно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Примірної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методики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предмета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економіки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торгівлі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сільського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18.02.2020 №275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як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середньоарифметичне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значення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масиву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отриманих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такою</w:t>
      </w:r>
      <w:r w:rsidRPr="0059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формулою</w:t>
      </w:r>
      <w:r w:rsidRPr="00596E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(Ц1 +… +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) / К,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де: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Ц1,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отримані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відкритих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джерел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інформації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приведені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єдиних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умов;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Бензин А - 95.</w:t>
      </w:r>
    </w:p>
    <w:p w:rsidR="00696395" w:rsidRPr="00696395" w:rsidRDefault="00696395" w:rsidP="006963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Розрахунок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За інформацією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сайту «Все АЗС»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середня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бензин А-95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Сумськ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област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(https://vseazs.com/)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станом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на 1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.202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3, становить 55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49 грн. за 1 літр. 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Очікувана ціна за одиницю (1 літр) розрахована згідно отриманого масиву цінових даних: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Цод1= (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55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55,99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54,40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)/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=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55,13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Приймаємо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середню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55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1 літр з урахуванням податку на додану вартість.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96395" w:rsidRPr="00696395" w:rsidRDefault="00696395" w:rsidP="00696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 х V, де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V –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кількість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закуповується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96395" w:rsidRPr="00696395" w:rsidRDefault="00696395" w:rsidP="00696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55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грн.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41360 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 = </w:t>
      </w:r>
      <w:bookmarkStart w:id="2" w:name="_Hlk138943159"/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>2274800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bookmarkEnd w:id="2"/>
    </w:p>
    <w:p w:rsidR="00696395" w:rsidRPr="00696395" w:rsidRDefault="00696395" w:rsidP="0069639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696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Pr="00696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2274800</w:t>
      </w:r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гривень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податку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додану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6963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F39B6" w:rsidRPr="00F61918" w:rsidRDefault="00EF39B6" w:rsidP="002520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EF39B6" w:rsidRPr="00F61918" w:rsidSect="004767C8">
      <w:headerReference w:type="default" r:id="rId10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1D" w:rsidRDefault="00252C1D" w:rsidP="00BB364D">
      <w:pPr>
        <w:spacing w:after="0" w:line="240" w:lineRule="auto"/>
      </w:pPr>
      <w:r>
        <w:separator/>
      </w:r>
    </w:p>
  </w:endnote>
  <w:end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1D" w:rsidRDefault="00252C1D" w:rsidP="00BB364D">
      <w:pPr>
        <w:spacing w:after="0" w:line="240" w:lineRule="auto"/>
      </w:pPr>
      <w:r>
        <w:separator/>
      </w:r>
    </w:p>
  </w:footnote>
  <w:foot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4B717162"/>
    <w:multiLevelType w:val="hybridMultilevel"/>
    <w:tmpl w:val="85686064"/>
    <w:lvl w:ilvl="0" w:tplc="1D967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5F51CB"/>
    <w:multiLevelType w:val="hybridMultilevel"/>
    <w:tmpl w:val="A79A6DA6"/>
    <w:lvl w:ilvl="0" w:tplc="D69CAE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2602E"/>
    <w:rsid w:val="00032D48"/>
    <w:rsid w:val="000370BA"/>
    <w:rsid w:val="0004085B"/>
    <w:rsid w:val="00042E10"/>
    <w:rsid w:val="000459C1"/>
    <w:rsid w:val="000509F3"/>
    <w:rsid w:val="000534CC"/>
    <w:rsid w:val="00056045"/>
    <w:rsid w:val="000656BD"/>
    <w:rsid w:val="00081121"/>
    <w:rsid w:val="00086C75"/>
    <w:rsid w:val="00087F4A"/>
    <w:rsid w:val="000D2A62"/>
    <w:rsid w:val="000D73C8"/>
    <w:rsid w:val="000F08AC"/>
    <w:rsid w:val="000F39BB"/>
    <w:rsid w:val="00115CE3"/>
    <w:rsid w:val="0012392D"/>
    <w:rsid w:val="00124855"/>
    <w:rsid w:val="00140EF5"/>
    <w:rsid w:val="00141523"/>
    <w:rsid w:val="00184083"/>
    <w:rsid w:val="001B0257"/>
    <w:rsid w:val="001D47A1"/>
    <w:rsid w:val="001E0F13"/>
    <w:rsid w:val="00203045"/>
    <w:rsid w:val="002149F0"/>
    <w:rsid w:val="00216AA4"/>
    <w:rsid w:val="00220F02"/>
    <w:rsid w:val="00224A27"/>
    <w:rsid w:val="00226BA4"/>
    <w:rsid w:val="0025069C"/>
    <w:rsid w:val="00252081"/>
    <w:rsid w:val="0025268F"/>
    <w:rsid w:val="00252C1D"/>
    <w:rsid w:val="00276620"/>
    <w:rsid w:val="002769AD"/>
    <w:rsid w:val="002A4399"/>
    <w:rsid w:val="002A7E32"/>
    <w:rsid w:val="002B1EB7"/>
    <w:rsid w:val="002B7E76"/>
    <w:rsid w:val="002E3EA6"/>
    <w:rsid w:val="002E56A5"/>
    <w:rsid w:val="00310EE1"/>
    <w:rsid w:val="00311F4E"/>
    <w:rsid w:val="0031301E"/>
    <w:rsid w:val="00320A04"/>
    <w:rsid w:val="0033343E"/>
    <w:rsid w:val="00343829"/>
    <w:rsid w:val="00347FB1"/>
    <w:rsid w:val="00353A84"/>
    <w:rsid w:val="00393CEF"/>
    <w:rsid w:val="003D0B49"/>
    <w:rsid w:val="004265FF"/>
    <w:rsid w:val="00437ADC"/>
    <w:rsid w:val="004767C8"/>
    <w:rsid w:val="00494F18"/>
    <w:rsid w:val="004A269C"/>
    <w:rsid w:val="004A5674"/>
    <w:rsid w:val="004E24EE"/>
    <w:rsid w:val="004F5AD9"/>
    <w:rsid w:val="00504FF1"/>
    <w:rsid w:val="00523FD9"/>
    <w:rsid w:val="00546F46"/>
    <w:rsid w:val="0055066F"/>
    <w:rsid w:val="005511F6"/>
    <w:rsid w:val="00556871"/>
    <w:rsid w:val="00567B14"/>
    <w:rsid w:val="00567B77"/>
    <w:rsid w:val="00570657"/>
    <w:rsid w:val="005766DA"/>
    <w:rsid w:val="00596E3E"/>
    <w:rsid w:val="005C34AB"/>
    <w:rsid w:val="005C4912"/>
    <w:rsid w:val="005E01F0"/>
    <w:rsid w:val="005F2D40"/>
    <w:rsid w:val="00616355"/>
    <w:rsid w:val="00620BDE"/>
    <w:rsid w:val="00620DB0"/>
    <w:rsid w:val="00624D0C"/>
    <w:rsid w:val="00633644"/>
    <w:rsid w:val="006567B7"/>
    <w:rsid w:val="00657AAD"/>
    <w:rsid w:val="00696395"/>
    <w:rsid w:val="006A2D3C"/>
    <w:rsid w:val="006A4796"/>
    <w:rsid w:val="006A5989"/>
    <w:rsid w:val="006A68E5"/>
    <w:rsid w:val="006B22B6"/>
    <w:rsid w:val="007111C2"/>
    <w:rsid w:val="00715263"/>
    <w:rsid w:val="00720A50"/>
    <w:rsid w:val="007276EF"/>
    <w:rsid w:val="00730021"/>
    <w:rsid w:val="00730A3A"/>
    <w:rsid w:val="00751035"/>
    <w:rsid w:val="00755EA1"/>
    <w:rsid w:val="00756960"/>
    <w:rsid w:val="007660D4"/>
    <w:rsid w:val="00774731"/>
    <w:rsid w:val="0078102F"/>
    <w:rsid w:val="007B1CBA"/>
    <w:rsid w:val="007F6958"/>
    <w:rsid w:val="008130DC"/>
    <w:rsid w:val="008325B7"/>
    <w:rsid w:val="00880B2B"/>
    <w:rsid w:val="00881878"/>
    <w:rsid w:val="00887976"/>
    <w:rsid w:val="008A0BD8"/>
    <w:rsid w:val="008E7AE5"/>
    <w:rsid w:val="0090338E"/>
    <w:rsid w:val="00905619"/>
    <w:rsid w:val="00932A9B"/>
    <w:rsid w:val="00944300"/>
    <w:rsid w:val="0096000A"/>
    <w:rsid w:val="00966978"/>
    <w:rsid w:val="009773D1"/>
    <w:rsid w:val="00981D82"/>
    <w:rsid w:val="00983172"/>
    <w:rsid w:val="009907FF"/>
    <w:rsid w:val="009963B1"/>
    <w:rsid w:val="009C3546"/>
    <w:rsid w:val="00A03825"/>
    <w:rsid w:val="00A06F43"/>
    <w:rsid w:val="00A42A91"/>
    <w:rsid w:val="00A972E4"/>
    <w:rsid w:val="00AA3236"/>
    <w:rsid w:val="00AB36CA"/>
    <w:rsid w:val="00AE7212"/>
    <w:rsid w:val="00AF0093"/>
    <w:rsid w:val="00AF3C79"/>
    <w:rsid w:val="00B20D01"/>
    <w:rsid w:val="00B36513"/>
    <w:rsid w:val="00B46AB1"/>
    <w:rsid w:val="00B62CA9"/>
    <w:rsid w:val="00B703B8"/>
    <w:rsid w:val="00B72E55"/>
    <w:rsid w:val="00B8741B"/>
    <w:rsid w:val="00B92B80"/>
    <w:rsid w:val="00BB364D"/>
    <w:rsid w:val="00BB50B9"/>
    <w:rsid w:val="00BB7077"/>
    <w:rsid w:val="00BE5667"/>
    <w:rsid w:val="00C104BF"/>
    <w:rsid w:val="00C120B2"/>
    <w:rsid w:val="00C16EB8"/>
    <w:rsid w:val="00C236A3"/>
    <w:rsid w:val="00C25FAB"/>
    <w:rsid w:val="00C3374F"/>
    <w:rsid w:val="00C34E40"/>
    <w:rsid w:val="00C67A81"/>
    <w:rsid w:val="00C861A4"/>
    <w:rsid w:val="00C909D5"/>
    <w:rsid w:val="00CC4153"/>
    <w:rsid w:val="00CE178B"/>
    <w:rsid w:val="00CE6079"/>
    <w:rsid w:val="00CE71E4"/>
    <w:rsid w:val="00D55819"/>
    <w:rsid w:val="00D61CD9"/>
    <w:rsid w:val="00D76531"/>
    <w:rsid w:val="00D77F07"/>
    <w:rsid w:val="00D90B95"/>
    <w:rsid w:val="00D91225"/>
    <w:rsid w:val="00DA675A"/>
    <w:rsid w:val="00DC2596"/>
    <w:rsid w:val="00DC366C"/>
    <w:rsid w:val="00DD7F93"/>
    <w:rsid w:val="00E046CF"/>
    <w:rsid w:val="00E10EC2"/>
    <w:rsid w:val="00E2340D"/>
    <w:rsid w:val="00E3080B"/>
    <w:rsid w:val="00E34A0B"/>
    <w:rsid w:val="00E52419"/>
    <w:rsid w:val="00E62958"/>
    <w:rsid w:val="00E6678A"/>
    <w:rsid w:val="00EB2195"/>
    <w:rsid w:val="00EC08E4"/>
    <w:rsid w:val="00EC3397"/>
    <w:rsid w:val="00ED5551"/>
    <w:rsid w:val="00EE4DAA"/>
    <w:rsid w:val="00EE57C2"/>
    <w:rsid w:val="00EF39B6"/>
    <w:rsid w:val="00EF54BB"/>
    <w:rsid w:val="00F12B23"/>
    <w:rsid w:val="00F55EB3"/>
    <w:rsid w:val="00F61918"/>
    <w:rsid w:val="00FC08A2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F6E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C2"/>
  </w:style>
  <w:style w:type="paragraph" w:styleId="1">
    <w:name w:val="heading 1"/>
    <w:basedOn w:val="a"/>
    <w:next w:val="a"/>
    <w:link w:val="10"/>
    <w:uiPriority w:val="9"/>
    <w:qFormat/>
    <w:rsid w:val="00766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8A0BD8"/>
  </w:style>
  <w:style w:type="table" w:customStyle="1" w:styleId="12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D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E6678A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39"/>
    <w:rsid w:val="004E24E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F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0F39BB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az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EFD3-DF8E-4B18-BC35-ECBACDE9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91</cp:revision>
  <dcterms:created xsi:type="dcterms:W3CDTF">2023-10-30T13:25:00Z</dcterms:created>
  <dcterms:modified xsi:type="dcterms:W3CDTF">2024-01-04T07:47:00Z</dcterms:modified>
</cp:coreProperties>
</file>